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t>Виды грантов для производителей продуктов питания</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Субсидии для КФХ представляют собой определенную сумму средств, которую государство выделяет фермерам из федерального бюджета. Она обязательно является целевой. Направить средства в ином направлении, которое выходит за предназначенные рамки, невозможно. Фермерам придется обязательно отчитываться за каждый потраченный рубль и подтверждать документально расходование денег.</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Когда КФХ работает больше трех лет, оно получает право на оформление субсидии на дальнейшее развитие своего сельскохозяйственного предпринимательства.</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В 2020 г., как и в предыдущих периодах, КФХ вправе надеяться на получение:</w:t>
      </w:r>
    </w:p>
    <w:p w:rsidR="001A183A" w:rsidRPr="001A183A" w:rsidRDefault="001A183A" w:rsidP="001A183A">
      <w:pPr>
        <w:numPr>
          <w:ilvl w:val="0"/>
          <w:numId w:val="1"/>
        </w:numPr>
        <w:shd w:val="clear" w:color="auto" w:fill="FFFFFF"/>
        <w:spacing w:after="22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Грантов для развития хозяйства. Претендент может истратить предоставленные средства на то, чтобы купить земельные площади, провести современные коммуникации. Такой вид поддержки органичен, и получают его не все КФХ.</w:t>
      </w:r>
    </w:p>
    <w:p w:rsidR="001A183A" w:rsidRPr="001A183A" w:rsidRDefault="001A183A" w:rsidP="001A183A">
      <w:pPr>
        <w:numPr>
          <w:ilvl w:val="0"/>
          <w:numId w:val="1"/>
        </w:numPr>
        <w:shd w:val="clear" w:color="auto" w:fill="FFFFFF"/>
        <w:spacing w:after="22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Компенсации средств, потраченных на покупку удобрений, животных (свиней, овец, коров и других).</w:t>
      </w:r>
    </w:p>
    <w:p w:rsidR="001A183A" w:rsidRPr="001A183A" w:rsidRDefault="001A183A" w:rsidP="001A183A">
      <w:pPr>
        <w:numPr>
          <w:ilvl w:val="0"/>
          <w:numId w:val="1"/>
        </w:numPr>
        <w:shd w:val="clear" w:color="auto" w:fill="FFFFFF"/>
        <w:spacing w:after="22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lastRenderedPageBreak/>
        <w:t xml:space="preserve">Средств, которые покроют затраты на строительство производственных и </w:t>
      </w:r>
      <w:proofErr w:type="spellStart"/>
      <w:r w:rsidRPr="001A183A">
        <w:rPr>
          <w:rFonts w:ascii="inherit" w:eastAsia="Times New Roman" w:hAnsi="inherit" w:cs="Arial"/>
          <w:color w:val="0A2E6E"/>
          <w:sz w:val="40"/>
          <w:szCs w:val="40"/>
        </w:rPr>
        <w:t>сельхозобъектов</w:t>
      </w:r>
      <w:proofErr w:type="spellEnd"/>
      <w:r w:rsidRPr="001A183A">
        <w:rPr>
          <w:rFonts w:ascii="inherit" w:eastAsia="Times New Roman" w:hAnsi="inherit" w:cs="Arial"/>
          <w:color w:val="0A2E6E"/>
          <w:sz w:val="40"/>
          <w:szCs w:val="40"/>
        </w:rPr>
        <w:t>, к примеру, завода по переработке молока, свинофермы, птицефермы. Как правило, выделенные суммы охватывают только часть понесенных издержек.</w:t>
      </w:r>
    </w:p>
    <w:p w:rsidR="001A183A" w:rsidRPr="001A183A" w:rsidRDefault="001A183A" w:rsidP="001A183A">
      <w:pPr>
        <w:numPr>
          <w:ilvl w:val="0"/>
          <w:numId w:val="1"/>
        </w:numPr>
        <w:shd w:val="clear" w:color="auto" w:fill="FFFFFF"/>
        <w:spacing w:after="22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Субсидий, покрывающих кредиты. Заемные средства должны быть истрачены строго на то, чтобы модернизировать фермерское хозяйство и развивать его.</w:t>
      </w:r>
    </w:p>
    <w:p w:rsidR="001A183A" w:rsidRPr="001A183A" w:rsidRDefault="001A183A" w:rsidP="001A183A">
      <w:pPr>
        <w:numPr>
          <w:ilvl w:val="0"/>
          <w:numId w:val="1"/>
        </w:numPr>
        <w:shd w:val="clear" w:color="auto" w:fill="FFFFFF"/>
        <w:spacing w:after="22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 xml:space="preserve">Целевых лизинговых субсидий. Они также имеют строгое однозначное предназначение – направляются исключительно на погашение лизинга, который использовался на взятие в аренду и последующий выкуп </w:t>
      </w:r>
      <w:proofErr w:type="spellStart"/>
      <w:r w:rsidRPr="001A183A">
        <w:rPr>
          <w:rFonts w:ascii="inherit" w:eastAsia="Times New Roman" w:hAnsi="inherit" w:cs="Arial"/>
          <w:color w:val="0A2E6E"/>
          <w:sz w:val="40"/>
          <w:szCs w:val="40"/>
        </w:rPr>
        <w:t>сельхозоборудования</w:t>
      </w:r>
      <w:proofErr w:type="spellEnd"/>
      <w:r w:rsidRPr="001A183A">
        <w:rPr>
          <w:rFonts w:ascii="inherit" w:eastAsia="Times New Roman" w:hAnsi="inherit" w:cs="Arial"/>
          <w:color w:val="0A2E6E"/>
          <w:sz w:val="40"/>
          <w:szCs w:val="40"/>
        </w:rPr>
        <w:t xml:space="preserve"> и техники.</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Средства в виде субсидий предоставляются:</w:t>
      </w:r>
    </w:p>
    <w:p w:rsidR="001A183A" w:rsidRPr="001A183A" w:rsidRDefault="001A183A" w:rsidP="001A183A">
      <w:pPr>
        <w:numPr>
          <w:ilvl w:val="0"/>
          <w:numId w:val="2"/>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КФХ;</w:t>
      </w:r>
    </w:p>
    <w:p w:rsidR="001A183A" w:rsidRPr="001A183A" w:rsidRDefault="001A183A" w:rsidP="001A183A">
      <w:pPr>
        <w:numPr>
          <w:ilvl w:val="0"/>
          <w:numId w:val="2"/>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сельхозкооперативам;</w:t>
      </w:r>
    </w:p>
    <w:p w:rsidR="001A183A" w:rsidRPr="001A183A" w:rsidRDefault="001A183A" w:rsidP="001A183A">
      <w:pPr>
        <w:numPr>
          <w:ilvl w:val="0"/>
          <w:numId w:val="2"/>
        </w:numPr>
        <w:shd w:val="clear" w:color="auto" w:fill="FFFFFF"/>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ИП, при условии ведения подсобного собственного хозяйства.</w:t>
      </w:r>
    </w:p>
    <w:p w:rsidR="001A183A" w:rsidRPr="001A183A" w:rsidRDefault="001A183A" w:rsidP="001A183A">
      <w:pPr>
        <w:shd w:val="clear" w:color="auto" w:fill="FFFFFF"/>
        <w:textAlignment w:val="baseline"/>
        <w:rPr>
          <w:rFonts w:ascii="Arial" w:eastAsia="Times New Roman" w:hAnsi="Arial" w:cs="Arial"/>
          <w:color w:val="0A2E6E"/>
          <w:sz w:val="40"/>
          <w:szCs w:val="40"/>
        </w:rPr>
      </w:pPr>
      <w:proofErr w:type="gramStart"/>
      <w:r w:rsidRPr="001A183A">
        <w:rPr>
          <w:rFonts w:ascii="Arial" w:eastAsia="Times New Roman" w:hAnsi="Arial" w:cs="Arial"/>
          <w:color w:val="0A2E6E"/>
          <w:sz w:val="40"/>
          <w:szCs w:val="40"/>
        </w:rPr>
        <w:t>Сроки субсидирования и цели его получения обсуждаются всегда индивидуально и не отступают от положений действующего законодательства (Читайте также статью: → «</w:t>
      </w:r>
      <w:proofErr w:type="gramEnd"/>
      <w:r w:rsidRPr="001A183A">
        <w:rPr>
          <w:rFonts w:ascii="Arial" w:eastAsia="Times New Roman" w:hAnsi="Arial" w:cs="Arial"/>
          <w:color w:val="0A2E6E"/>
          <w:sz w:val="40"/>
          <w:szCs w:val="40"/>
        </w:rPr>
        <w:fldChar w:fldCharType="begin"/>
      </w:r>
      <w:r w:rsidRPr="001A183A">
        <w:rPr>
          <w:rFonts w:ascii="Arial" w:eastAsia="Times New Roman" w:hAnsi="Arial" w:cs="Arial"/>
          <w:color w:val="0A2E6E"/>
          <w:sz w:val="40"/>
          <w:szCs w:val="40"/>
        </w:rPr>
        <w:instrText xml:space="preserve"> HYPERLINK "https://online-buhuchet.ru/buxgalterskij-uchet-v-selskom-xozyajstve/" \t "_blank" </w:instrText>
      </w:r>
      <w:r w:rsidRPr="001A183A">
        <w:rPr>
          <w:rFonts w:ascii="Arial" w:eastAsia="Times New Roman" w:hAnsi="Arial" w:cs="Arial"/>
          <w:color w:val="0A2E6E"/>
          <w:sz w:val="40"/>
          <w:szCs w:val="40"/>
        </w:rPr>
        <w:fldChar w:fldCharType="separate"/>
      </w:r>
      <w:r w:rsidRPr="001A183A">
        <w:rPr>
          <w:rFonts w:ascii="inherit" w:eastAsia="Times New Roman" w:hAnsi="inherit" w:cs="Arial"/>
          <w:color w:val="3F67AF"/>
          <w:sz w:val="40"/>
        </w:rPr>
        <w:t>Бухгалтерский учет в сельском хозяйстве в 2020 году: особенности, документы, примеры с проводками»)</w:t>
      </w:r>
      <w:r w:rsidRPr="001A183A">
        <w:rPr>
          <w:rFonts w:ascii="Arial" w:eastAsia="Times New Roman" w:hAnsi="Arial" w:cs="Arial"/>
          <w:color w:val="0A2E6E"/>
          <w:sz w:val="40"/>
          <w:szCs w:val="40"/>
        </w:rPr>
        <w:fldChar w:fldCharType="end"/>
      </w:r>
      <w:proofErr w:type="gramStart"/>
      <w:r w:rsidRPr="001A183A">
        <w:rPr>
          <w:rFonts w:ascii="Arial" w:eastAsia="Times New Roman" w:hAnsi="Arial" w:cs="Arial"/>
          <w:color w:val="0A2E6E"/>
          <w:sz w:val="40"/>
        </w:rPr>
        <w:t> </w:t>
      </w:r>
      <w:r w:rsidRPr="001A183A">
        <w:rPr>
          <w:rFonts w:ascii="Arial" w:eastAsia="Times New Roman" w:hAnsi="Arial" w:cs="Arial"/>
          <w:color w:val="0A2E6E"/>
          <w:sz w:val="40"/>
          <w:szCs w:val="40"/>
        </w:rPr>
        <w:t>.</w:t>
      </w:r>
      <w:proofErr w:type="gramEnd"/>
    </w:p>
    <w:p w:rsidR="001A183A" w:rsidRPr="001A183A" w:rsidRDefault="001A183A" w:rsidP="001A183A">
      <w:pPr>
        <w:shd w:val="clear" w:color="auto" w:fill="FFFFFF"/>
        <w:textAlignment w:val="baseline"/>
        <w:rPr>
          <w:rFonts w:ascii="Arial" w:eastAsia="Times New Roman" w:hAnsi="Arial" w:cs="Arial"/>
          <w:color w:val="0A2E6E"/>
          <w:sz w:val="40"/>
          <w:szCs w:val="40"/>
        </w:rPr>
      </w:pPr>
      <w:r w:rsidRPr="001A183A">
        <w:rPr>
          <w:rFonts w:ascii="inherit" w:eastAsia="Times New Roman" w:hAnsi="inherit" w:cs="Arial"/>
          <w:b/>
          <w:bCs/>
          <w:color w:val="0A2E6E"/>
          <w:sz w:val="40"/>
        </w:rPr>
        <w:t xml:space="preserve">Важно! КФХ для своего дальнейшего развития может воспользоваться одновременно </w:t>
      </w:r>
      <w:r w:rsidRPr="001A183A">
        <w:rPr>
          <w:rFonts w:ascii="inherit" w:eastAsia="Times New Roman" w:hAnsi="inherit" w:cs="Arial"/>
          <w:b/>
          <w:bCs/>
          <w:color w:val="0A2E6E"/>
          <w:sz w:val="40"/>
        </w:rPr>
        <w:lastRenderedPageBreak/>
        <w:t>несколькими видами поддержки. Условие – фермерское хозяйство соответствует необходимым критериям.</w:t>
      </w:r>
    </w:p>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t>Условия для получения субсидии с бюджета</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Государственную поддержку в 2020 г. смогут получить начинающие фермеры и семьи, решившие создать крепкое хозяйство. Помощь открыта для всех, но чтобы воспользоваться ею, следует соответствовать определенным критериям. Насколько КФХ отвечает необходимым требованиям, проверяет квалифицированная комиссия. Именно она рассматривает заявки и оценивает выполнение обязательных условий.</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proofErr w:type="gramStart"/>
      <w:r w:rsidRPr="001A183A">
        <w:rPr>
          <w:rFonts w:ascii="Arial" w:eastAsia="Times New Roman" w:hAnsi="Arial" w:cs="Arial"/>
          <w:color w:val="0A2E6E"/>
          <w:sz w:val="40"/>
          <w:szCs w:val="40"/>
        </w:rPr>
        <w:t>Немаловажной</w:t>
      </w:r>
      <w:proofErr w:type="gramEnd"/>
      <w:r w:rsidRPr="001A183A">
        <w:rPr>
          <w:rFonts w:ascii="Arial" w:eastAsia="Times New Roman" w:hAnsi="Arial" w:cs="Arial"/>
          <w:color w:val="0A2E6E"/>
          <w:sz w:val="40"/>
          <w:szCs w:val="40"/>
        </w:rPr>
        <w:t xml:space="preserve"> составной положительного решения выступает и социальная значимость проекта КФХ. В первую очередь одобряются заявки, которые предполагают предоставление рабочих мест для местных жителей, обустройство населенного пункта, постройку дорог. Плюсом для КФХ является тот факт, что фермерское хозяйство находится вблизи от села или городка.</w:t>
      </w:r>
    </w:p>
    <w:p w:rsidR="001A183A" w:rsidRPr="001A183A" w:rsidRDefault="001A183A" w:rsidP="001A183A">
      <w:pPr>
        <w:shd w:val="clear" w:color="auto" w:fill="F8F6F2"/>
        <w:textAlignment w:val="baseline"/>
        <w:rPr>
          <w:rFonts w:ascii="inherit" w:eastAsia="Times New Roman" w:hAnsi="inherit" w:cs="Arial"/>
          <w:color w:val="0A2E6E"/>
          <w:sz w:val="40"/>
          <w:szCs w:val="40"/>
        </w:rPr>
      </w:pPr>
      <w:r w:rsidRPr="001A183A">
        <w:rPr>
          <w:rFonts w:ascii="inherit" w:eastAsia="Times New Roman" w:hAnsi="inherit" w:cs="Arial"/>
          <w:b/>
          <w:bCs/>
          <w:color w:val="0A2E6E"/>
          <w:sz w:val="40"/>
        </w:rPr>
        <w:t>Важно! Средства из федерального бюджета выделяются только тогда, когда продукция КФХ будет действительно востребована на внутреннем рынке.</w:t>
      </w:r>
    </w:p>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lastRenderedPageBreak/>
        <w:t>Перечень необходимых для субсидирования документов</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Распределение бюджетных средств на субсидирование – ответственный процесс. Чтобы попасть в число претендентов на их получение, необходимо предоставить папку документов.</w:t>
      </w:r>
    </w:p>
    <w:p w:rsidR="001A183A" w:rsidRPr="001A183A" w:rsidRDefault="001A183A" w:rsidP="001A183A">
      <w:pPr>
        <w:shd w:val="clear" w:color="auto" w:fill="FFFFFF"/>
        <w:textAlignment w:val="baseline"/>
        <w:rPr>
          <w:rFonts w:ascii="Arial" w:eastAsia="Times New Roman" w:hAnsi="Arial" w:cs="Arial"/>
          <w:color w:val="0A2E6E"/>
          <w:sz w:val="40"/>
          <w:szCs w:val="40"/>
        </w:rPr>
      </w:pPr>
      <w:r w:rsidRPr="001A183A">
        <w:rPr>
          <w:rFonts w:ascii="inherit" w:eastAsia="Times New Roman" w:hAnsi="inherit" w:cs="Arial"/>
          <w:b/>
          <w:bCs/>
          <w:color w:val="0A2E6E"/>
          <w:sz w:val="40"/>
        </w:rPr>
        <w:t>Важно! Не исключено, что комиссия потребует дополнительные документы. Такое право у нее имеется.</w:t>
      </w:r>
    </w:p>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t>Что включается в бизнес-план</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Без подробного бизнес-плана комиссия не примет документы КФХ на рассмотрение. Подготовить его несложно. В плане содержатся разделы, которые описывают:</w:t>
      </w:r>
    </w:p>
    <w:p w:rsidR="001A183A" w:rsidRPr="001A183A" w:rsidRDefault="001A183A" w:rsidP="001A183A">
      <w:pPr>
        <w:numPr>
          <w:ilvl w:val="0"/>
          <w:numId w:val="5"/>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данные о КФХ, в том числе сведения об организационной и правовой структуре;</w:t>
      </w:r>
    </w:p>
    <w:p w:rsidR="001A183A" w:rsidRPr="001A183A" w:rsidRDefault="001A183A" w:rsidP="001A183A">
      <w:pPr>
        <w:numPr>
          <w:ilvl w:val="0"/>
          <w:numId w:val="5"/>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размеры собственных средств и суммы инвестиций;</w:t>
      </w:r>
    </w:p>
    <w:p w:rsidR="001A183A" w:rsidRPr="001A183A" w:rsidRDefault="001A183A" w:rsidP="001A183A">
      <w:pPr>
        <w:numPr>
          <w:ilvl w:val="0"/>
          <w:numId w:val="5"/>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маркетинговый план;</w:t>
      </w:r>
    </w:p>
    <w:p w:rsidR="001A183A" w:rsidRPr="001A183A" w:rsidRDefault="001A183A" w:rsidP="001A183A">
      <w:pPr>
        <w:numPr>
          <w:ilvl w:val="0"/>
          <w:numId w:val="5"/>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окупаемость, размеры планируемого дохода и прибыли – финансовый план;</w:t>
      </w:r>
    </w:p>
    <w:p w:rsidR="001A183A" w:rsidRPr="001A183A" w:rsidRDefault="001A183A" w:rsidP="001A183A">
      <w:pPr>
        <w:numPr>
          <w:ilvl w:val="0"/>
          <w:numId w:val="5"/>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аналитические исследования – возможные риски, кризисные ситуации, пути их преодоления;</w:t>
      </w:r>
    </w:p>
    <w:p w:rsidR="001A183A" w:rsidRPr="001A183A" w:rsidRDefault="001A183A" w:rsidP="001A183A">
      <w:pPr>
        <w:numPr>
          <w:ilvl w:val="0"/>
          <w:numId w:val="5"/>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lastRenderedPageBreak/>
        <w:t>расчеты эффективности КФХ;</w:t>
      </w:r>
    </w:p>
    <w:p w:rsidR="001A183A" w:rsidRPr="001A183A" w:rsidRDefault="001A183A" w:rsidP="001A183A">
      <w:pPr>
        <w:numPr>
          <w:ilvl w:val="0"/>
          <w:numId w:val="5"/>
        </w:numPr>
        <w:shd w:val="clear" w:color="auto" w:fill="FFFFFF"/>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рекламные мероприятия и способы продвижения продукции.</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proofErr w:type="gramStart"/>
      <w:r w:rsidRPr="001A183A">
        <w:rPr>
          <w:rFonts w:ascii="Arial" w:eastAsia="Times New Roman" w:hAnsi="Arial" w:cs="Arial"/>
          <w:color w:val="0A2E6E"/>
          <w:sz w:val="40"/>
          <w:szCs w:val="40"/>
        </w:rPr>
        <w:t>Обязательные</w:t>
      </w:r>
      <w:proofErr w:type="gramEnd"/>
      <w:r w:rsidRPr="001A183A">
        <w:rPr>
          <w:rFonts w:ascii="Arial" w:eastAsia="Times New Roman" w:hAnsi="Arial" w:cs="Arial"/>
          <w:color w:val="0A2E6E"/>
          <w:sz w:val="40"/>
          <w:szCs w:val="40"/>
        </w:rPr>
        <w:t xml:space="preserve"> составные бизнес-плана:</w:t>
      </w:r>
    </w:p>
    <w:p w:rsidR="001A183A" w:rsidRPr="001A183A" w:rsidRDefault="001A183A" w:rsidP="001A183A">
      <w:pPr>
        <w:numPr>
          <w:ilvl w:val="0"/>
          <w:numId w:val="6"/>
        </w:numPr>
        <w:shd w:val="clear" w:color="auto" w:fill="FFFFFF"/>
        <w:spacing w:after="22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Резюме.</w:t>
      </w:r>
    </w:p>
    <w:p w:rsidR="001A183A" w:rsidRPr="001A183A" w:rsidRDefault="001A183A" w:rsidP="001A183A">
      <w:pPr>
        <w:numPr>
          <w:ilvl w:val="0"/>
          <w:numId w:val="6"/>
        </w:numPr>
        <w:shd w:val="clear" w:color="auto" w:fill="FFFFFF"/>
        <w:spacing w:after="22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Приложение.</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В резюме обобщается информация, представленная в бизнес-плане, формируется вывод о перспективности КФХ и данные о том, чего можно достичь в ближайшее время.</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Приложение содержит документацию, подтверждающую финансовый и аналитический разделы бизнес-плана.</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Разрабатывая документ, разумно сделать ударение на реалистичность и оригинальность.</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Если самостоятельно составить план развития бизнеса нет возможности, помогут сотрудники Центра занятости или специальных инкубаторов.</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Величина субсидии для КФХ – не более 70% требуемых средств и в пределах 1,5 млн. руб. Поэтому собственных средств должно минимум 30%.</w:t>
      </w:r>
    </w:p>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t>Как получить субсидию для КФХ – этапы</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lastRenderedPageBreak/>
        <w:t>Последовательность получения гранта такова:</w:t>
      </w:r>
    </w:p>
    <w:tbl>
      <w:tblPr>
        <w:tblW w:w="13226" w:type="dxa"/>
        <w:tblCellSpacing w:w="15" w:type="dxa"/>
        <w:shd w:val="clear" w:color="auto" w:fill="FFFFFF"/>
        <w:tblCellMar>
          <w:left w:w="0" w:type="dxa"/>
          <w:right w:w="0" w:type="dxa"/>
        </w:tblCellMar>
        <w:tblLook w:val="04A0"/>
      </w:tblPr>
      <w:tblGrid>
        <w:gridCol w:w="2722"/>
        <w:gridCol w:w="10504"/>
      </w:tblGrid>
      <w:tr w:rsidR="001A183A" w:rsidRPr="001A183A" w:rsidTr="001A183A">
        <w:trPr>
          <w:tblCellSpacing w:w="15" w:type="dxa"/>
        </w:trPr>
        <w:tc>
          <w:tcPr>
            <w:tcW w:w="195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b/>
                <w:bCs/>
                <w:color w:val="0A2E6E"/>
                <w:sz w:val="35"/>
              </w:rPr>
              <w:t>Этапы</w:t>
            </w:r>
          </w:p>
        </w:tc>
        <w:tc>
          <w:tcPr>
            <w:tcW w:w="762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b/>
                <w:bCs/>
                <w:color w:val="0A2E6E"/>
                <w:sz w:val="35"/>
              </w:rPr>
              <w:t>Описание</w:t>
            </w:r>
          </w:p>
        </w:tc>
      </w:tr>
      <w:tr w:rsidR="001A183A" w:rsidRPr="001A183A" w:rsidTr="001A183A">
        <w:trPr>
          <w:tblCellSpacing w:w="15" w:type="dxa"/>
        </w:trPr>
        <w:tc>
          <w:tcPr>
            <w:tcW w:w="195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1.</w:t>
            </w:r>
          </w:p>
        </w:tc>
        <w:tc>
          <w:tcPr>
            <w:tcW w:w="762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Зарегистрироваться как ИП или глава КФХ</w:t>
            </w:r>
          </w:p>
        </w:tc>
      </w:tr>
      <w:tr w:rsidR="001A183A" w:rsidRPr="001A183A" w:rsidTr="001A183A">
        <w:trPr>
          <w:tblCellSpacing w:w="15" w:type="dxa"/>
        </w:trPr>
        <w:tc>
          <w:tcPr>
            <w:tcW w:w="195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2.</w:t>
            </w:r>
          </w:p>
        </w:tc>
        <w:tc>
          <w:tcPr>
            <w:tcW w:w="762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Оценить свои возможности касательно получения гранта (сравнить с необходимыми критериями)</w:t>
            </w:r>
          </w:p>
        </w:tc>
      </w:tr>
      <w:tr w:rsidR="001A183A" w:rsidRPr="001A183A" w:rsidTr="001A183A">
        <w:trPr>
          <w:tblCellSpacing w:w="15" w:type="dxa"/>
        </w:trPr>
        <w:tc>
          <w:tcPr>
            <w:tcW w:w="195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3.</w:t>
            </w:r>
          </w:p>
        </w:tc>
        <w:tc>
          <w:tcPr>
            <w:tcW w:w="762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Ознакомиться в местном органе власти с программой субсидирования</w:t>
            </w:r>
          </w:p>
        </w:tc>
      </w:tr>
      <w:tr w:rsidR="001A183A" w:rsidRPr="001A183A" w:rsidTr="001A183A">
        <w:trPr>
          <w:tblCellSpacing w:w="15" w:type="dxa"/>
        </w:trPr>
        <w:tc>
          <w:tcPr>
            <w:tcW w:w="195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4.</w:t>
            </w:r>
          </w:p>
        </w:tc>
        <w:tc>
          <w:tcPr>
            <w:tcW w:w="762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Составить бизнес-план и прочие нужные документы</w:t>
            </w:r>
          </w:p>
        </w:tc>
      </w:tr>
      <w:tr w:rsidR="001A183A" w:rsidRPr="001A183A" w:rsidTr="001A183A">
        <w:trPr>
          <w:tblCellSpacing w:w="15" w:type="dxa"/>
        </w:trPr>
        <w:tc>
          <w:tcPr>
            <w:tcW w:w="195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5.</w:t>
            </w:r>
          </w:p>
        </w:tc>
        <w:tc>
          <w:tcPr>
            <w:tcW w:w="762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Предоставить их Минсельхоз в своем регионе</w:t>
            </w:r>
          </w:p>
        </w:tc>
      </w:tr>
      <w:tr w:rsidR="001A183A" w:rsidRPr="001A183A" w:rsidTr="001A183A">
        <w:trPr>
          <w:tblCellSpacing w:w="15" w:type="dxa"/>
        </w:trPr>
        <w:tc>
          <w:tcPr>
            <w:tcW w:w="195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6.</w:t>
            </w:r>
          </w:p>
        </w:tc>
        <w:tc>
          <w:tcPr>
            <w:tcW w:w="762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Заполнить анкету или заявление стандартной формы</w:t>
            </w:r>
          </w:p>
        </w:tc>
      </w:tr>
      <w:tr w:rsidR="001A183A" w:rsidRPr="001A183A" w:rsidTr="001A183A">
        <w:trPr>
          <w:tblCellSpacing w:w="15" w:type="dxa"/>
        </w:trPr>
        <w:tc>
          <w:tcPr>
            <w:tcW w:w="195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7.</w:t>
            </w:r>
          </w:p>
        </w:tc>
        <w:tc>
          <w:tcPr>
            <w:tcW w:w="762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Оставить на рассмотрение комиссии подготовленные документы</w:t>
            </w:r>
          </w:p>
        </w:tc>
      </w:tr>
      <w:tr w:rsidR="001A183A" w:rsidRPr="001A183A" w:rsidTr="001A183A">
        <w:trPr>
          <w:tblCellSpacing w:w="15" w:type="dxa"/>
        </w:trPr>
        <w:tc>
          <w:tcPr>
            <w:tcW w:w="195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8.</w:t>
            </w:r>
          </w:p>
        </w:tc>
        <w:tc>
          <w:tcPr>
            <w:tcW w:w="762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Подождать 15 дней, пока поступит результат экспертной оценки документов</w:t>
            </w:r>
          </w:p>
        </w:tc>
      </w:tr>
      <w:tr w:rsidR="001A183A" w:rsidRPr="001A183A" w:rsidTr="001A183A">
        <w:trPr>
          <w:tblCellSpacing w:w="15" w:type="dxa"/>
        </w:trPr>
        <w:tc>
          <w:tcPr>
            <w:tcW w:w="195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9.</w:t>
            </w:r>
          </w:p>
        </w:tc>
        <w:tc>
          <w:tcPr>
            <w:tcW w:w="7620"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Не исключено приглашение в Минсельхоз для собеседования и оценки деловых каче</w:t>
            </w:r>
            <w:proofErr w:type="gramStart"/>
            <w:r w:rsidRPr="001A183A">
              <w:rPr>
                <w:rFonts w:ascii="inherit" w:eastAsia="Times New Roman" w:hAnsi="inherit" w:cs="Times New Roman"/>
                <w:color w:val="0A2E6E"/>
                <w:sz w:val="35"/>
                <w:szCs w:val="35"/>
              </w:rPr>
              <w:t>ств пр</w:t>
            </w:r>
            <w:proofErr w:type="gramEnd"/>
            <w:r w:rsidRPr="001A183A">
              <w:rPr>
                <w:rFonts w:ascii="inherit" w:eastAsia="Times New Roman" w:hAnsi="inherit" w:cs="Times New Roman"/>
                <w:color w:val="0A2E6E"/>
                <w:sz w:val="35"/>
                <w:szCs w:val="35"/>
              </w:rPr>
              <w:t>етендента</w:t>
            </w:r>
          </w:p>
        </w:tc>
      </w:tr>
      <w:tr w:rsidR="001A183A" w:rsidRPr="001A183A" w:rsidTr="001A183A">
        <w:trPr>
          <w:tblCellSpacing w:w="15" w:type="dxa"/>
        </w:trPr>
        <w:tc>
          <w:tcPr>
            <w:tcW w:w="195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10.</w:t>
            </w:r>
          </w:p>
        </w:tc>
        <w:tc>
          <w:tcPr>
            <w:tcW w:w="7620"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r w:rsidRPr="001A183A">
              <w:rPr>
                <w:rFonts w:ascii="inherit" w:eastAsia="Times New Roman" w:hAnsi="inherit" w:cs="Times New Roman"/>
                <w:color w:val="0A2E6E"/>
                <w:sz w:val="35"/>
                <w:szCs w:val="35"/>
              </w:rPr>
              <w:t>В случае положительного решения – заключение контракта и получение средств отдельными траншами</w:t>
            </w:r>
          </w:p>
        </w:tc>
      </w:tr>
    </w:tbl>
    <w:p w:rsidR="001A183A" w:rsidRPr="001A183A" w:rsidRDefault="001A183A" w:rsidP="001A183A">
      <w:pPr>
        <w:shd w:val="clear" w:color="auto" w:fill="FFFFFF"/>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lastRenderedPageBreak/>
        <w:t xml:space="preserve">Победителя определяет комиссия, сформированная специально из квалифицированных кадров. Если поданный проект является крупномасштабным – вероятность получения гранта возрастает. </w:t>
      </w:r>
      <w:proofErr w:type="gramStart"/>
      <w:r w:rsidRPr="001A183A">
        <w:rPr>
          <w:rFonts w:ascii="Arial" w:eastAsia="Times New Roman" w:hAnsi="Arial" w:cs="Arial"/>
          <w:color w:val="0A2E6E"/>
          <w:sz w:val="40"/>
          <w:szCs w:val="40"/>
        </w:rPr>
        <w:t>КФХ необходимо научиться защищать свой бизнес-проект и в случае успеха – потратить выделенные средства полностью и с максимальной эффективностью (Читайте также статью:</w:t>
      </w:r>
      <w:proofErr w:type="gramEnd"/>
      <w:r w:rsidRPr="001A183A">
        <w:rPr>
          <w:rFonts w:ascii="Arial" w:eastAsia="Times New Roman" w:hAnsi="Arial" w:cs="Arial"/>
          <w:color w:val="0A2E6E"/>
          <w:sz w:val="40"/>
          <w:szCs w:val="40"/>
        </w:rPr>
        <w:t xml:space="preserve"> → </w:t>
      </w:r>
      <w:hyperlink r:id="rId5" w:tgtFrame="_blank" w:history="1">
        <w:proofErr w:type="gramStart"/>
        <w:r w:rsidRPr="001A183A">
          <w:rPr>
            <w:rFonts w:ascii="inherit" w:eastAsia="Times New Roman" w:hAnsi="inherit" w:cs="Arial"/>
            <w:color w:val="3F67AF"/>
            <w:sz w:val="40"/>
          </w:rPr>
          <w:t>Порядок оформления налогового вычета при использовании субсидии в 2020</w:t>
        </w:r>
      </w:hyperlink>
      <w:r w:rsidRPr="001A183A">
        <w:rPr>
          <w:rFonts w:ascii="Arial" w:eastAsia="Times New Roman" w:hAnsi="Arial" w:cs="Arial"/>
          <w:color w:val="0A2E6E"/>
          <w:sz w:val="40"/>
          <w:szCs w:val="40"/>
        </w:rPr>
        <w:t>).</w:t>
      </w:r>
      <w:proofErr w:type="gramEnd"/>
    </w:p>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t>Особенности субсидирования в 2020 г.</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Размеры фермерского субсидирования увеличиваются ежегодно. Официальная статистика информирует, что к концу нынешнего года величина грантов составит около 20 млрд. руб., и уже больше 80 субъектов ее получили.</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Максимальный размер субсидии составляет полтора млн. руб. В 2020 г. он будет увеличен, как минимум, на индекс инфляции и цен.</w:t>
      </w:r>
    </w:p>
    <w:p w:rsidR="001A183A" w:rsidRPr="001A183A" w:rsidRDefault="001A183A" w:rsidP="001A183A">
      <w:pPr>
        <w:shd w:val="clear" w:color="auto" w:fill="F0F0F0"/>
        <w:spacing w:line="443" w:lineRule="atLeast"/>
        <w:textAlignment w:val="baseline"/>
        <w:rPr>
          <w:rFonts w:ascii="inherit" w:eastAsia="Times New Roman" w:hAnsi="inherit" w:cs="Arial"/>
          <w:b/>
          <w:bCs/>
          <w:color w:val="333333"/>
          <w:sz w:val="36"/>
          <w:szCs w:val="36"/>
        </w:rPr>
      </w:pPr>
      <w:r w:rsidRPr="001A183A">
        <w:rPr>
          <w:rFonts w:ascii="inherit" w:eastAsia="Times New Roman" w:hAnsi="inherit" w:cs="Arial"/>
          <w:b/>
          <w:bCs/>
          <w:color w:val="333333"/>
          <w:sz w:val="36"/>
          <w:szCs w:val="36"/>
        </w:rPr>
        <w:t>Особенности фермерского субсидирования в 2020 г.: (нажмите для раскрытия)</w:t>
      </w:r>
    </w:p>
    <w:p w:rsidR="001A183A" w:rsidRPr="001A183A" w:rsidRDefault="001A183A" w:rsidP="001A183A">
      <w:pPr>
        <w:numPr>
          <w:ilvl w:val="0"/>
          <w:numId w:val="7"/>
        </w:numPr>
        <w:shd w:val="clear" w:color="auto" w:fill="FFFFFF"/>
        <w:spacing w:after="222"/>
        <w:ind w:left="0"/>
        <w:textAlignment w:val="baseline"/>
        <w:rPr>
          <w:rFonts w:ascii="inherit" w:eastAsia="Times New Roman" w:hAnsi="inherit" w:cs="Arial"/>
          <w:color w:val="0A2E6E"/>
          <w:sz w:val="40"/>
          <w:szCs w:val="40"/>
        </w:rPr>
      </w:pPr>
    </w:p>
    <w:p w:rsidR="001A183A" w:rsidRPr="001A183A" w:rsidRDefault="001A183A" w:rsidP="001A183A">
      <w:pPr>
        <w:numPr>
          <w:ilvl w:val="0"/>
          <w:numId w:val="7"/>
        </w:numPr>
        <w:shd w:val="clear" w:color="auto" w:fill="FFFFFF"/>
        <w:spacing w:after="222"/>
        <w:ind w:left="0"/>
        <w:textAlignment w:val="baseline"/>
        <w:rPr>
          <w:rFonts w:ascii="inherit" w:eastAsia="Times New Roman" w:hAnsi="inherit" w:cs="Arial"/>
          <w:color w:val="0A2E6E"/>
          <w:sz w:val="40"/>
          <w:szCs w:val="40"/>
        </w:rPr>
      </w:pPr>
    </w:p>
    <w:p w:rsidR="001A183A" w:rsidRPr="001A183A" w:rsidRDefault="001A183A" w:rsidP="001A183A">
      <w:pPr>
        <w:numPr>
          <w:ilvl w:val="0"/>
          <w:numId w:val="7"/>
        </w:numPr>
        <w:shd w:val="clear" w:color="auto" w:fill="FFFFFF"/>
        <w:spacing w:after="222"/>
        <w:ind w:left="0"/>
        <w:textAlignment w:val="baseline"/>
        <w:rPr>
          <w:rFonts w:ascii="inherit" w:eastAsia="Times New Roman" w:hAnsi="inherit" w:cs="Arial"/>
          <w:color w:val="0A2E6E"/>
          <w:sz w:val="40"/>
          <w:szCs w:val="40"/>
        </w:rPr>
      </w:pPr>
    </w:p>
    <w:p w:rsidR="001A183A" w:rsidRPr="001A183A" w:rsidRDefault="001A183A" w:rsidP="001A183A">
      <w:pPr>
        <w:numPr>
          <w:ilvl w:val="0"/>
          <w:numId w:val="7"/>
        </w:numPr>
        <w:shd w:val="clear" w:color="auto" w:fill="FFFFFF"/>
        <w:ind w:left="0"/>
        <w:textAlignment w:val="baseline"/>
        <w:rPr>
          <w:rFonts w:ascii="inherit" w:eastAsia="Times New Roman" w:hAnsi="inherit" w:cs="Arial"/>
          <w:color w:val="0A2E6E"/>
          <w:sz w:val="40"/>
          <w:szCs w:val="40"/>
        </w:rPr>
      </w:pP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lastRenderedPageBreak/>
        <w:t>Каждый субъект КФХ, принявший участие в программе субсидирования из федерального бюджета, обязан предоставлять расширенный и детальный отчет о результатах свой деятельности. Он включает информацию о многих показателях и параметрах.</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Не исключено, что с 2020 г. станет возможным экспресс-субсидирование. Его сроки ограничатся, скорее всего, двумя неделями. Такой вид выдачи субсидий будет касаться тех проектов, которые признаны экспертной комиссией, как высокорентабельные.</w:t>
      </w:r>
    </w:p>
    <w:p w:rsidR="001A183A" w:rsidRPr="001A183A" w:rsidRDefault="001A183A" w:rsidP="001A183A">
      <w:pPr>
        <w:shd w:val="clear" w:color="auto" w:fill="F0F0F0"/>
        <w:spacing w:line="443" w:lineRule="atLeast"/>
        <w:textAlignment w:val="baseline"/>
        <w:rPr>
          <w:rFonts w:ascii="inherit" w:eastAsia="Times New Roman" w:hAnsi="inherit" w:cs="Arial"/>
          <w:b/>
          <w:bCs/>
          <w:color w:val="333333"/>
          <w:sz w:val="36"/>
          <w:szCs w:val="36"/>
        </w:rPr>
      </w:pPr>
      <w:r w:rsidRPr="001A183A">
        <w:rPr>
          <w:rFonts w:ascii="inherit" w:eastAsia="Times New Roman" w:hAnsi="inherit" w:cs="Arial"/>
          <w:b/>
          <w:bCs/>
          <w:color w:val="333333"/>
          <w:sz w:val="36"/>
          <w:szCs w:val="36"/>
        </w:rPr>
        <w:t>В таблице содержится информация о выделенных грантах за несколько лет: (нажмите для раскрытия)</w:t>
      </w:r>
    </w:p>
    <w:tbl>
      <w:tblPr>
        <w:tblW w:w="13182" w:type="dxa"/>
        <w:tblCellSpacing w:w="15" w:type="dxa"/>
        <w:shd w:val="clear" w:color="auto" w:fill="FFFFFF"/>
        <w:tblCellMar>
          <w:left w:w="0" w:type="dxa"/>
          <w:right w:w="0" w:type="dxa"/>
        </w:tblCellMar>
        <w:tblLook w:val="04A0"/>
      </w:tblPr>
      <w:tblGrid>
        <w:gridCol w:w="4399"/>
        <w:gridCol w:w="4384"/>
        <w:gridCol w:w="4399"/>
      </w:tblGrid>
      <w:tr w:rsidR="001A183A" w:rsidRPr="001A183A" w:rsidTr="001A183A">
        <w:trPr>
          <w:tblCellSpacing w:w="15" w:type="dxa"/>
        </w:trPr>
        <w:tc>
          <w:tcPr>
            <w:tcW w:w="9570" w:type="dxa"/>
            <w:gridSpan w:val="3"/>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p>
        </w:tc>
      </w:tr>
      <w:tr w:rsidR="001A183A" w:rsidRPr="001A183A" w:rsidTr="001A183A">
        <w:trPr>
          <w:tblCellSpacing w:w="15" w:type="dxa"/>
        </w:trPr>
        <w:tc>
          <w:tcPr>
            <w:tcW w:w="3195"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p>
        </w:tc>
        <w:tc>
          <w:tcPr>
            <w:tcW w:w="3195"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p>
        </w:tc>
        <w:tc>
          <w:tcPr>
            <w:tcW w:w="3195" w:type="dxa"/>
            <w:tcBorders>
              <w:top w:val="nil"/>
              <w:left w:val="nil"/>
              <w:bottom w:val="nil"/>
              <w:right w:val="nil"/>
            </w:tcBorders>
            <w:shd w:val="clear" w:color="auto" w:fill="F4F5F8"/>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p>
        </w:tc>
      </w:tr>
      <w:tr w:rsidR="001A183A" w:rsidRPr="001A183A" w:rsidTr="001A183A">
        <w:trPr>
          <w:tblCellSpacing w:w="15" w:type="dxa"/>
        </w:trPr>
        <w:tc>
          <w:tcPr>
            <w:tcW w:w="3195"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p>
        </w:tc>
        <w:tc>
          <w:tcPr>
            <w:tcW w:w="3195"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p>
        </w:tc>
        <w:tc>
          <w:tcPr>
            <w:tcW w:w="3195" w:type="dxa"/>
            <w:tcBorders>
              <w:top w:val="nil"/>
              <w:left w:val="nil"/>
              <w:bottom w:val="nil"/>
              <w:right w:val="nil"/>
            </w:tcBorders>
            <w:shd w:val="clear" w:color="auto" w:fill="FFFFFF"/>
            <w:tcMar>
              <w:top w:w="288" w:type="dxa"/>
              <w:left w:w="288" w:type="dxa"/>
              <w:bottom w:w="288" w:type="dxa"/>
              <w:right w:w="288" w:type="dxa"/>
            </w:tcMar>
            <w:vAlign w:val="bottom"/>
            <w:hideMark/>
          </w:tcPr>
          <w:p w:rsidR="001A183A" w:rsidRPr="001A183A" w:rsidRDefault="001A183A" w:rsidP="001A183A">
            <w:pPr>
              <w:jc w:val="center"/>
              <w:rPr>
                <w:rFonts w:ascii="inherit" w:eastAsia="Times New Roman" w:hAnsi="inherit" w:cs="Times New Roman"/>
                <w:color w:val="0A2E6E"/>
                <w:sz w:val="35"/>
                <w:szCs w:val="35"/>
              </w:rPr>
            </w:pPr>
          </w:p>
        </w:tc>
      </w:tr>
    </w:tbl>
    <w:p w:rsidR="001A183A" w:rsidRPr="001A183A" w:rsidRDefault="001A183A" w:rsidP="001A183A">
      <w:pPr>
        <w:shd w:val="clear" w:color="auto" w:fill="FFFFFF"/>
        <w:textAlignment w:val="baseline"/>
        <w:rPr>
          <w:rFonts w:ascii="Arial" w:eastAsia="Times New Roman" w:hAnsi="Arial" w:cs="Arial"/>
          <w:color w:val="0A2E6E"/>
          <w:sz w:val="40"/>
          <w:szCs w:val="40"/>
        </w:rPr>
      </w:pPr>
      <w:r w:rsidRPr="001A183A">
        <w:rPr>
          <w:rFonts w:ascii="inherit" w:eastAsia="Times New Roman" w:hAnsi="inherit" w:cs="Arial"/>
          <w:b/>
          <w:bCs/>
          <w:color w:val="0A2E6E"/>
          <w:sz w:val="40"/>
        </w:rPr>
        <w:t>Важно! КФХ следует внимательно следить за сроками уплаты налогов и ни в коем случае не пропускать их, поскольку это сделает невозможным получение субсидии.</w:t>
      </w:r>
    </w:p>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t>Как предоставленные бюджетом средства реализуются</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 xml:space="preserve">В 2020 г. деньги из госбюджета не станут выделяться единовременно общей суммой. КФХ </w:t>
      </w:r>
      <w:r w:rsidRPr="001A183A">
        <w:rPr>
          <w:rFonts w:ascii="Arial" w:eastAsia="Times New Roman" w:hAnsi="Arial" w:cs="Arial"/>
          <w:color w:val="0A2E6E"/>
          <w:sz w:val="40"/>
          <w:szCs w:val="40"/>
        </w:rPr>
        <w:lastRenderedPageBreak/>
        <w:t xml:space="preserve">заключает контракт с государством. Согласно такому соглашению средства для </w:t>
      </w:r>
      <w:proofErr w:type="spellStart"/>
      <w:r w:rsidRPr="001A183A">
        <w:rPr>
          <w:rFonts w:ascii="Arial" w:eastAsia="Times New Roman" w:hAnsi="Arial" w:cs="Arial"/>
          <w:color w:val="0A2E6E"/>
          <w:sz w:val="40"/>
          <w:szCs w:val="40"/>
        </w:rPr>
        <w:t>сельхозбизнеса</w:t>
      </w:r>
      <w:proofErr w:type="spellEnd"/>
      <w:r w:rsidRPr="001A183A">
        <w:rPr>
          <w:rFonts w:ascii="Arial" w:eastAsia="Times New Roman" w:hAnsi="Arial" w:cs="Arial"/>
          <w:color w:val="0A2E6E"/>
          <w:sz w:val="40"/>
          <w:szCs w:val="40"/>
        </w:rPr>
        <w:t xml:space="preserve"> поступают на протяжении года.</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Контракт содержит данные о:</w:t>
      </w:r>
    </w:p>
    <w:p w:rsidR="001A183A" w:rsidRPr="001A183A" w:rsidRDefault="001A183A" w:rsidP="001A183A">
      <w:pPr>
        <w:numPr>
          <w:ilvl w:val="0"/>
          <w:numId w:val="8"/>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сумме выделенной субсидии;</w:t>
      </w:r>
    </w:p>
    <w:p w:rsidR="001A183A" w:rsidRPr="001A183A" w:rsidRDefault="001A183A" w:rsidP="001A183A">
      <w:pPr>
        <w:numPr>
          <w:ilvl w:val="0"/>
          <w:numId w:val="8"/>
        </w:numPr>
        <w:shd w:val="clear" w:color="auto" w:fill="FFFFFF"/>
        <w:spacing w:after="332"/>
        <w:ind w:left="0"/>
        <w:textAlignment w:val="baseline"/>
        <w:rPr>
          <w:rFonts w:ascii="inherit" w:eastAsia="Times New Roman" w:hAnsi="inherit" w:cs="Arial"/>
          <w:color w:val="0A2E6E"/>
          <w:sz w:val="40"/>
          <w:szCs w:val="40"/>
        </w:rPr>
      </w:pPr>
      <w:proofErr w:type="gramStart"/>
      <w:r w:rsidRPr="001A183A">
        <w:rPr>
          <w:rFonts w:ascii="inherit" w:eastAsia="Times New Roman" w:hAnsi="inherit" w:cs="Arial"/>
          <w:color w:val="0A2E6E"/>
          <w:sz w:val="40"/>
          <w:szCs w:val="40"/>
        </w:rPr>
        <w:t>видах</w:t>
      </w:r>
      <w:proofErr w:type="gramEnd"/>
      <w:r w:rsidRPr="001A183A">
        <w:rPr>
          <w:rFonts w:ascii="inherit" w:eastAsia="Times New Roman" w:hAnsi="inherit" w:cs="Arial"/>
          <w:color w:val="0A2E6E"/>
          <w:sz w:val="40"/>
          <w:szCs w:val="40"/>
        </w:rPr>
        <w:t xml:space="preserve"> отчетности и датах ее предоставления;</w:t>
      </w:r>
    </w:p>
    <w:p w:rsidR="001A183A" w:rsidRPr="001A183A" w:rsidRDefault="001A183A" w:rsidP="001A183A">
      <w:pPr>
        <w:numPr>
          <w:ilvl w:val="0"/>
          <w:numId w:val="8"/>
        </w:numPr>
        <w:shd w:val="clear" w:color="auto" w:fill="FFFFFF"/>
        <w:spacing w:after="332"/>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 xml:space="preserve">целевом </w:t>
      </w:r>
      <w:proofErr w:type="gramStart"/>
      <w:r w:rsidRPr="001A183A">
        <w:rPr>
          <w:rFonts w:ascii="inherit" w:eastAsia="Times New Roman" w:hAnsi="inherit" w:cs="Arial"/>
          <w:color w:val="0A2E6E"/>
          <w:sz w:val="40"/>
          <w:szCs w:val="40"/>
        </w:rPr>
        <w:t>назначении</w:t>
      </w:r>
      <w:proofErr w:type="gramEnd"/>
      <w:r w:rsidRPr="001A183A">
        <w:rPr>
          <w:rFonts w:ascii="inherit" w:eastAsia="Times New Roman" w:hAnsi="inherit" w:cs="Arial"/>
          <w:color w:val="0A2E6E"/>
          <w:sz w:val="40"/>
          <w:szCs w:val="40"/>
        </w:rPr>
        <w:t xml:space="preserve"> гранта;</w:t>
      </w:r>
    </w:p>
    <w:p w:rsidR="001A183A" w:rsidRPr="001A183A" w:rsidRDefault="001A183A" w:rsidP="001A183A">
      <w:pPr>
        <w:numPr>
          <w:ilvl w:val="0"/>
          <w:numId w:val="8"/>
        </w:numPr>
        <w:shd w:val="clear" w:color="auto" w:fill="FFFFFF"/>
        <w:spacing w:after="332"/>
        <w:ind w:left="0"/>
        <w:textAlignment w:val="baseline"/>
        <w:rPr>
          <w:rFonts w:ascii="inherit" w:eastAsia="Times New Roman" w:hAnsi="inherit" w:cs="Arial"/>
          <w:color w:val="0A2E6E"/>
          <w:sz w:val="40"/>
          <w:szCs w:val="40"/>
        </w:rPr>
      </w:pPr>
      <w:proofErr w:type="gramStart"/>
      <w:r w:rsidRPr="001A183A">
        <w:rPr>
          <w:rFonts w:ascii="inherit" w:eastAsia="Times New Roman" w:hAnsi="inherit" w:cs="Arial"/>
          <w:color w:val="0A2E6E"/>
          <w:sz w:val="40"/>
          <w:szCs w:val="40"/>
        </w:rPr>
        <w:t>порядке</w:t>
      </w:r>
      <w:proofErr w:type="gramEnd"/>
      <w:r w:rsidRPr="001A183A">
        <w:rPr>
          <w:rFonts w:ascii="inherit" w:eastAsia="Times New Roman" w:hAnsi="inherit" w:cs="Arial"/>
          <w:color w:val="0A2E6E"/>
          <w:sz w:val="40"/>
          <w:szCs w:val="40"/>
        </w:rPr>
        <w:t xml:space="preserve"> возврата выделенных сумм, если за истекший год их не удалось освоить;</w:t>
      </w:r>
    </w:p>
    <w:p w:rsidR="001A183A" w:rsidRPr="001A183A" w:rsidRDefault="001A183A" w:rsidP="001A183A">
      <w:pPr>
        <w:numPr>
          <w:ilvl w:val="0"/>
          <w:numId w:val="8"/>
        </w:numPr>
        <w:shd w:val="clear" w:color="auto" w:fill="FFFFFF"/>
        <w:ind w:left="0"/>
        <w:textAlignment w:val="baseline"/>
        <w:rPr>
          <w:rFonts w:ascii="inherit" w:eastAsia="Times New Roman" w:hAnsi="inherit" w:cs="Arial"/>
          <w:color w:val="0A2E6E"/>
          <w:sz w:val="40"/>
          <w:szCs w:val="40"/>
        </w:rPr>
      </w:pPr>
      <w:r w:rsidRPr="001A183A">
        <w:rPr>
          <w:rFonts w:ascii="inherit" w:eastAsia="Times New Roman" w:hAnsi="inherit" w:cs="Arial"/>
          <w:color w:val="0A2E6E"/>
          <w:sz w:val="40"/>
          <w:szCs w:val="40"/>
        </w:rPr>
        <w:t>ответственности за то, что пункты соглашения не соблюдены или нарушены.</w:t>
      </w:r>
    </w:p>
    <w:p w:rsidR="001A183A" w:rsidRPr="001A183A" w:rsidRDefault="001A183A" w:rsidP="001A183A">
      <w:pPr>
        <w:shd w:val="clear" w:color="auto" w:fill="FFFFFF"/>
        <w:textAlignment w:val="baseline"/>
        <w:rPr>
          <w:rFonts w:ascii="Arial" w:eastAsia="Times New Roman" w:hAnsi="Arial" w:cs="Arial"/>
          <w:color w:val="0A2E6E"/>
          <w:sz w:val="40"/>
          <w:szCs w:val="40"/>
        </w:rPr>
      </w:pPr>
      <w:r w:rsidRPr="001A183A">
        <w:rPr>
          <w:rFonts w:ascii="inherit" w:eastAsia="Times New Roman" w:hAnsi="inherit" w:cs="Arial"/>
          <w:b/>
          <w:bCs/>
          <w:color w:val="0A2E6E"/>
          <w:sz w:val="40"/>
        </w:rPr>
        <w:t>Важно! Когда КФХ не сможет расходовать по назначению определенную сумму предоставленных средств, ему придется вернуть их в казну.</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С 2017 г. субсидии облагаются подоходным налогом. Он вносится в казну уже после того, как транш получен.</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Не исключается натуральная помощь государства КФХ. К примеру, в заявке указана цель предпринимателя – приобрести производственную линию или оборудование. Государство может ее поставить. Такой способ поддержки менее бюрократичен.</w:t>
      </w:r>
    </w:p>
    <w:p w:rsidR="001A183A" w:rsidRPr="001A183A" w:rsidRDefault="001A183A" w:rsidP="001A183A">
      <w:pPr>
        <w:shd w:val="clear" w:color="auto" w:fill="FFFFFF"/>
        <w:spacing w:after="332"/>
        <w:textAlignment w:val="baseline"/>
        <w:outlineLvl w:val="1"/>
        <w:rPr>
          <w:rFonts w:ascii="Arial" w:eastAsia="Times New Roman" w:hAnsi="Arial" w:cs="Arial"/>
          <w:b/>
          <w:bCs/>
          <w:color w:val="0A2E6E"/>
          <w:sz w:val="62"/>
          <w:szCs w:val="62"/>
        </w:rPr>
      </w:pPr>
      <w:r w:rsidRPr="001A183A">
        <w:rPr>
          <w:rFonts w:ascii="Arial" w:eastAsia="Times New Roman" w:hAnsi="Arial" w:cs="Arial"/>
          <w:b/>
          <w:bCs/>
          <w:color w:val="0A2E6E"/>
          <w:sz w:val="62"/>
          <w:szCs w:val="62"/>
        </w:rPr>
        <w:lastRenderedPageBreak/>
        <w:t>Популярные вопросы и ответы</w:t>
      </w:r>
    </w:p>
    <w:p w:rsidR="001A183A" w:rsidRPr="001A183A" w:rsidRDefault="001A183A" w:rsidP="001A183A">
      <w:pPr>
        <w:shd w:val="clear" w:color="auto" w:fill="FFFFFF"/>
        <w:textAlignment w:val="baseline"/>
        <w:rPr>
          <w:rFonts w:ascii="Arial" w:eastAsia="Times New Roman" w:hAnsi="Arial" w:cs="Arial"/>
          <w:color w:val="0A2E6E"/>
          <w:sz w:val="40"/>
          <w:szCs w:val="40"/>
        </w:rPr>
      </w:pPr>
      <w:r w:rsidRPr="001A183A">
        <w:rPr>
          <w:rFonts w:ascii="inherit" w:eastAsia="Times New Roman" w:hAnsi="inherit" w:cs="Arial"/>
          <w:b/>
          <w:bCs/>
          <w:color w:val="0A2E6E"/>
          <w:sz w:val="40"/>
        </w:rPr>
        <w:t>Вопрос 1.</w:t>
      </w:r>
      <w:r w:rsidRPr="001A183A">
        <w:rPr>
          <w:rFonts w:ascii="Arial" w:eastAsia="Times New Roman" w:hAnsi="Arial" w:cs="Arial"/>
          <w:color w:val="0A2E6E"/>
          <w:sz w:val="40"/>
        </w:rPr>
        <w:t> </w:t>
      </w:r>
      <w:r w:rsidRPr="001A183A">
        <w:rPr>
          <w:rFonts w:ascii="Arial" w:eastAsia="Times New Roman" w:hAnsi="Arial" w:cs="Arial"/>
          <w:color w:val="0A2E6E"/>
          <w:sz w:val="40"/>
          <w:szCs w:val="40"/>
        </w:rPr>
        <w:t>Где можно ознакомиться с программой субсидирования КФХ?</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Ответ. Нужные сведения размещаются на официальном сайте Минсельхоза в соответствующей области или крае.</w:t>
      </w:r>
    </w:p>
    <w:p w:rsidR="001A183A" w:rsidRPr="001A183A" w:rsidRDefault="001A183A" w:rsidP="001A183A">
      <w:pPr>
        <w:shd w:val="clear" w:color="auto" w:fill="FFFFFF"/>
        <w:textAlignment w:val="baseline"/>
        <w:rPr>
          <w:rFonts w:ascii="Arial" w:eastAsia="Times New Roman" w:hAnsi="Arial" w:cs="Arial"/>
          <w:color w:val="0A2E6E"/>
          <w:sz w:val="40"/>
          <w:szCs w:val="40"/>
        </w:rPr>
      </w:pPr>
      <w:r w:rsidRPr="001A183A">
        <w:rPr>
          <w:rFonts w:ascii="inherit" w:eastAsia="Times New Roman" w:hAnsi="inherit" w:cs="Arial"/>
          <w:b/>
          <w:bCs/>
          <w:color w:val="0A2E6E"/>
          <w:sz w:val="40"/>
        </w:rPr>
        <w:t>Вопрос 2.</w:t>
      </w:r>
      <w:r w:rsidRPr="001A183A">
        <w:rPr>
          <w:rFonts w:ascii="Arial" w:eastAsia="Times New Roman" w:hAnsi="Arial" w:cs="Arial"/>
          <w:color w:val="0A2E6E"/>
          <w:sz w:val="40"/>
        </w:rPr>
        <w:t> </w:t>
      </w:r>
      <w:r w:rsidRPr="001A183A">
        <w:rPr>
          <w:rFonts w:ascii="Arial" w:eastAsia="Times New Roman" w:hAnsi="Arial" w:cs="Arial"/>
          <w:color w:val="0A2E6E"/>
          <w:sz w:val="40"/>
          <w:szCs w:val="40"/>
        </w:rPr>
        <w:t>Какие организации могут подавать заявки на субсидирование?</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 xml:space="preserve">Ответ. Претендовать на распределение субсидии вправе КФХ, индивидуальные подсобные хозяйства, организации, которые относятся к </w:t>
      </w:r>
      <w:proofErr w:type="spellStart"/>
      <w:r w:rsidRPr="001A183A">
        <w:rPr>
          <w:rFonts w:ascii="Arial" w:eastAsia="Times New Roman" w:hAnsi="Arial" w:cs="Arial"/>
          <w:color w:val="0A2E6E"/>
          <w:sz w:val="40"/>
          <w:szCs w:val="40"/>
        </w:rPr>
        <w:t>микропредприятиям</w:t>
      </w:r>
      <w:proofErr w:type="spellEnd"/>
      <w:r w:rsidRPr="001A183A">
        <w:rPr>
          <w:rFonts w:ascii="Arial" w:eastAsia="Times New Roman" w:hAnsi="Arial" w:cs="Arial"/>
          <w:color w:val="0A2E6E"/>
          <w:sz w:val="40"/>
          <w:szCs w:val="40"/>
        </w:rPr>
        <w:t>. Перечень критериев, которым следует соответствовать – на сайте Минсельхоза.</w:t>
      </w:r>
    </w:p>
    <w:p w:rsidR="001A183A" w:rsidRPr="001A183A" w:rsidRDefault="001A183A" w:rsidP="001A183A">
      <w:pPr>
        <w:shd w:val="clear" w:color="auto" w:fill="FFFFFF"/>
        <w:spacing w:after="332"/>
        <w:textAlignment w:val="baseline"/>
        <w:rPr>
          <w:rFonts w:ascii="Arial" w:eastAsia="Times New Roman" w:hAnsi="Arial" w:cs="Arial"/>
          <w:color w:val="0A2E6E"/>
          <w:sz w:val="40"/>
          <w:szCs w:val="40"/>
        </w:rPr>
      </w:pPr>
      <w:r w:rsidRPr="001A183A">
        <w:rPr>
          <w:rFonts w:ascii="Arial" w:eastAsia="Times New Roman" w:hAnsi="Arial" w:cs="Arial"/>
          <w:color w:val="0A2E6E"/>
          <w:sz w:val="40"/>
          <w:szCs w:val="40"/>
        </w:rPr>
        <w:t xml:space="preserve">Субсидия КФХ предоставляется ровно на один год. На протяжении всего этого периода государство материально поддерживает </w:t>
      </w:r>
      <w:proofErr w:type="spellStart"/>
      <w:r w:rsidRPr="001A183A">
        <w:rPr>
          <w:rFonts w:ascii="Arial" w:eastAsia="Times New Roman" w:hAnsi="Arial" w:cs="Arial"/>
          <w:color w:val="0A2E6E"/>
          <w:sz w:val="40"/>
          <w:szCs w:val="40"/>
        </w:rPr>
        <w:t>сельхозредпринимателя</w:t>
      </w:r>
      <w:proofErr w:type="spellEnd"/>
      <w:r w:rsidRPr="001A183A">
        <w:rPr>
          <w:rFonts w:ascii="Arial" w:eastAsia="Times New Roman" w:hAnsi="Arial" w:cs="Arial"/>
          <w:color w:val="0A2E6E"/>
          <w:sz w:val="40"/>
          <w:szCs w:val="40"/>
        </w:rPr>
        <w:t>. В зависимости от способностей последнего бизнес или начинает развиваться и становиться перспективным, или демонстрирует несостоятельность. КФХ нужно очень постараться, чтобы не упустить такой отличный шанс, как материальная поддержка из госбюджета.</w:t>
      </w:r>
    </w:p>
    <w:p w:rsidR="00CB67ED" w:rsidRDefault="00CB67ED"/>
    <w:sectPr w:rsidR="00CB67ED" w:rsidSect="00CB67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inherit">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47E2B"/>
    <w:multiLevelType w:val="multilevel"/>
    <w:tmpl w:val="290C0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2580C"/>
    <w:multiLevelType w:val="multilevel"/>
    <w:tmpl w:val="003EA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216B45"/>
    <w:multiLevelType w:val="multilevel"/>
    <w:tmpl w:val="E6AA9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C5F11C3"/>
    <w:multiLevelType w:val="multilevel"/>
    <w:tmpl w:val="19622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9A7D19"/>
    <w:multiLevelType w:val="multilevel"/>
    <w:tmpl w:val="0E3EE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D391ABB"/>
    <w:multiLevelType w:val="multilevel"/>
    <w:tmpl w:val="3D880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313697F"/>
    <w:multiLevelType w:val="multilevel"/>
    <w:tmpl w:val="0AC6A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C71794"/>
    <w:multiLevelType w:val="multilevel"/>
    <w:tmpl w:val="6B3A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6"/>
  </w:num>
  <w:num w:numId="6">
    <w:abstractNumId w:val="5"/>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1A183A"/>
    <w:rsid w:val="001A183A"/>
    <w:rsid w:val="00242D8D"/>
    <w:rsid w:val="0080405C"/>
    <w:rsid w:val="00AF3F93"/>
    <w:rsid w:val="00CB67ED"/>
    <w:rsid w:val="00E30D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F93"/>
    <w:pPr>
      <w:spacing w:after="0" w:line="240" w:lineRule="auto"/>
    </w:pPr>
    <w:rPr>
      <w:rFonts w:ascii="Times New Roman" w:hAnsi="Times New Roman"/>
      <w:sz w:val="24"/>
      <w:szCs w:val="24"/>
      <w:lang w:eastAsia="ru-RU"/>
    </w:rPr>
  </w:style>
  <w:style w:type="paragraph" w:styleId="1">
    <w:name w:val="heading 1"/>
    <w:basedOn w:val="a"/>
    <w:next w:val="a"/>
    <w:link w:val="10"/>
    <w:uiPriority w:val="99"/>
    <w:qFormat/>
    <w:rsid w:val="00AF3F93"/>
    <w:pPr>
      <w:keepNext/>
      <w:keepLines/>
      <w:spacing w:after="360"/>
      <w:jc w:val="center"/>
      <w:outlineLvl w:val="0"/>
    </w:pPr>
    <w:rPr>
      <w:rFonts w:ascii="Arial" w:eastAsia="Times New Roman" w:hAnsi="Arial" w:cs="Arial"/>
      <w:b/>
      <w:bCs/>
      <w:kern w:val="28"/>
      <w:sz w:val="28"/>
      <w:szCs w:val="28"/>
    </w:rPr>
  </w:style>
  <w:style w:type="paragraph" w:styleId="2">
    <w:name w:val="heading 2"/>
    <w:basedOn w:val="a"/>
    <w:next w:val="a0"/>
    <w:link w:val="20"/>
    <w:uiPriority w:val="9"/>
    <w:qFormat/>
    <w:rsid w:val="00AF3F93"/>
    <w:pPr>
      <w:keepNext/>
      <w:keepLines/>
      <w:spacing w:after="360"/>
      <w:jc w:val="center"/>
      <w:outlineLvl w:val="1"/>
    </w:pPr>
    <w:rPr>
      <w:rFonts w:eastAsia="Times New Roman" w:cs="Times New Roman"/>
      <w:b/>
      <w:bCs/>
      <w:sz w:val="28"/>
      <w:szCs w:val="28"/>
    </w:rPr>
  </w:style>
  <w:style w:type="paragraph" w:styleId="3">
    <w:name w:val="heading 3"/>
    <w:basedOn w:val="a"/>
    <w:next w:val="a"/>
    <w:link w:val="30"/>
    <w:unhideWhenUsed/>
    <w:qFormat/>
    <w:rsid w:val="00AF3F9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AF3F93"/>
    <w:pPr>
      <w:keepNext/>
      <w:spacing w:before="240" w:after="60"/>
      <w:outlineLvl w:val="3"/>
    </w:pPr>
    <w:rPr>
      <w:rFonts w:eastAsia="Times New Roman" w:cs="Times New Roman"/>
      <w:b/>
      <w:bCs/>
      <w:sz w:val="28"/>
      <w:szCs w:val="28"/>
    </w:rPr>
  </w:style>
  <w:style w:type="paragraph" w:styleId="5">
    <w:name w:val="heading 5"/>
    <w:basedOn w:val="a"/>
    <w:next w:val="a"/>
    <w:link w:val="50"/>
    <w:qFormat/>
    <w:rsid w:val="00AF3F93"/>
    <w:pPr>
      <w:spacing w:before="240" w:after="60"/>
      <w:outlineLvl w:val="4"/>
    </w:pPr>
    <w:rPr>
      <w:rFonts w:eastAsia="Times New Roman" w:cs="Times New Roman"/>
      <w:b/>
      <w:bCs/>
      <w:i/>
      <w:iCs/>
      <w:sz w:val="26"/>
      <w:szCs w:val="26"/>
    </w:rPr>
  </w:style>
  <w:style w:type="paragraph" w:styleId="6">
    <w:name w:val="heading 6"/>
    <w:basedOn w:val="a"/>
    <w:next w:val="a"/>
    <w:link w:val="60"/>
    <w:uiPriority w:val="99"/>
    <w:qFormat/>
    <w:rsid w:val="00AF3F93"/>
    <w:pPr>
      <w:spacing w:before="240" w:after="60"/>
      <w:outlineLvl w:val="5"/>
    </w:pPr>
    <w:rPr>
      <w:rFonts w:eastAsia="Times New Roman" w:cs="Times New Roman"/>
      <w:b/>
      <w:bCs/>
      <w:sz w:val="22"/>
      <w:szCs w:val="22"/>
    </w:rPr>
  </w:style>
  <w:style w:type="paragraph" w:styleId="7">
    <w:name w:val="heading 7"/>
    <w:basedOn w:val="a"/>
    <w:next w:val="a"/>
    <w:link w:val="70"/>
    <w:uiPriority w:val="99"/>
    <w:qFormat/>
    <w:rsid w:val="00AF3F93"/>
    <w:pPr>
      <w:keepNext/>
      <w:jc w:val="right"/>
      <w:outlineLvl w:val="6"/>
    </w:pPr>
    <w:rPr>
      <w:rFonts w:eastAsia="Times New Roman" w:cs="Times New Roman"/>
      <w:i/>
      <w:iCs/>
      <w:sz w:val="20"/>
      <w:szCs w:val="20"/>
    </w:rPr>
  </w:style>
  <w:style w:type="paragraph" w:styleId="8">
    <w:name w:val="heading 8"/>
    <w:basedOn w:val="a"/>
    <w:next w:val="a"/>
    <w:link w:val="80"/>
    <w:uiPriority w:val="99"/>
    <w:qFormat/>
    <w:rsid w:val="00AF3F93"/>
    <w:pPr>
      <w:spacing w:before="240" w:after="60"/>
      <w:outlineLvl w:val="7"/>
    </w:pPr>
    <w:rPr>
      <w:rFonts w:eastAsia="Times New Roman" w:cs="Times New Roman"/>
      <w:i/>
      <w:iCs/>
    </w:rPr>
  </w:style>
  <w:style w:type="paragraph" w:styleId="9">
    <w:name w:val="heading 9"/>
    <w:basedOn w:val="a"/>
    <w:next w:val="a"/>
    <w:link w:val="90"/>
    <w:uiPriority w:val="99"/>
    <w:qFormat/>
    <w:rsid w:val="00AF3F93"/>
    <w:pPr>
      <w:keepNext/>
      <w:spacing w:before="240"/>
      <w:outlineLvl w:val="8"/>
    </w:pPr>
    <w:rPr>
      <w:rFonts w:eastAsia="Times New Roman" w:cs="Times New Roman"/>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AF3F93"/>
    <w:rPr>
      <w:rFonts w:ascii="Arial" w:eastAsia="Times New Roman" w:hAnsi="Arial" w:cs="Arial"/>
      <w:b/>
      <w:bCs/>
      <w:kern w:val="28"/>
      <w:sz w:val="28"/>
      <w:szCs w:val="28"/>
      <w:lang w:eastAsia="ru-RU"/>
    </w:rPr>
  </w:style>
  <w:style w:type="character" w:customStyle="1" w:styleId="20">
    <w:name w:val="Заголовок 2 Знак"/>
    <w:basedOn w:val="a1"/>
    <w:link w:val="2"/>
    <w:uiPriority w:val="9"/>
    <w:rsid w:val="00AF3F93"/>
    <w:rPr>
      <w:rFonts w:ascii="Times New Roman" w:eastAsia="Times New Roman" w:hAnsi="Times New Roman" w:cs="Times New Roman"/>
      <w:b/>
      <w:bCs/>
      <w:sz w:val="28"/>
      <w:szCs w:val="28"/>
      <w:lang w:eastAsia="ru-RU"/>
    </w:rPr>
  </w:style>
  <w:style w:type="paragraph" w:styleId="a0">
    <w:name w:val="Body Text"/>
    <w:basedOn w:val="a"/>
    <w:link w:val="a4"/>
    <w:uiPriority w:val="99"/>
    <w:semiHidden/>
    <w:unhideWhenUsed/>
    <w:rsid w:val="00AF3F93"/>
    <w:pPr>
      <w:spacing w:after="120"/>
    </w:pPr>
  </w:style>
  <w:style w:type="character" w:customStyle="1" w:styleId="a4">
    <w:name w:val="Основной текст Знак"/>
    <w:basedOn w:val="a1"/>
    <w:link w:val="a0"/>
    <w:uiPriority w:val="99"/>
    <w:semiHidden/>
    <w:rsid w:val="00AF3F93"/>
    <w:rPr>
      <w:rFonts w:ascii="Times New Roman" w:hAnsi="Times New Roman"/>
      <w:sz w:val="24"/>
      <w:szCs w:val="24"/>
      <w:lang w:eastAsia="ru-RU"/>
    </w:rPr>
  </w:style>
  <w:style w:type="character" w:customStyle="1" w:styleId="30">
    <w:name w:val="Заголовок 3 Знак"/>
    <w:basedOn w:val="a1"/>
    <w:link w:val="3"/>
    <w:rsid w:val="00AF3F9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AF3F9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AF3F9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AF3F93"/>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AF3F93"/>
    <w:rPr>
      <w:rFonts w:ascii="Times New Roman" w:eastAsia="Times New Roman" w:hAnsi="Times New Roman" w:cs="Times New Roman"/>
      <w:i/>
      <w:iCs/>
      <w:sz w:val="20"/>
      <w:szCs w:val="20"/>
      <w:lang w:eastAsia="ru-RU"/>
    </w:rPr>
  </w:style>
  <w:style w:type="character" w:customStyle="1" w:styleId="80">
    <w:name w:val="Заголовок 8 Знак"/>
    <w:basedOn w:val="a1"/>
    <w:link w:val="8"/>
    <w:uiPriority w:val="99"/>
    <w:rsid w:val="00AF3F9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AF3F93"/>
    <w:rPr>
      <w:rFonts w:ascii="Times New Roman" w:eastAsia="Times New Roman" w:hAnsi="Times New Roman" w:cs="Times New Roman"/>
      <w:b/>
      <w:bCs/>
      <w:sz w:val="24"/>
      <w:szCs w:val="24"/>
      <w:lang w:eastAsia="ru-RU"/>
    </w:rPr>
  </w:style>
  <w:style w:type="paragraph" w:styleId="a5">
    <w:name w:val="Title"/>
    <w:basedOn w:val="a"/>
    <w:link w:val="a6"/>
    <w:qFormat/>
    <w:rsid w:val="00AF3F93"/>
    <w:pPr>
      <w:jc w:val="center"/>
    </w:pPr>
    <w:rPr>
      <w:rFonts w:eastAsia="Times New Roman" w:cs="Times New Roman"/>
      <w:sz w:val="28"/>
      <w:szCs w:val="20"/>
    </w:rPr>
  </w:style>
  <w:style w:type="character" w:customStyle="1" w:styleId="a6">
    <w:name w:val="Название Знак"/>
    <w:basedOn w:val="a1"/>
    <w:link w:val="a5"/>
    <w:rsid w:val="00AF3F93"/>
    <w:rPr>
      <w:rFonts w:ascii="Times New Roman" w:eastAsia="Times New Roman" w:hAnsi="Times New Roman" w:cs="Times New Roman"/>
      <w:sz w:val="28"/>
      <w:szCs w:val="20"/>
      <w:lang w:eastAsia="ru-RU"/>
    </w:rPr>
  </w:style>
  <w:style w:type="paragraph" w:styleId="a7">
    <w:name w:val="No Spacing"/>
    <w:uiPriority w:val="1"/>
    <w:qFormat/>
    <w:rsid w:val="00AF3F93"/>
    <w:pPr>
      <w:spacing w:after="0" w:line="240" w:lineRule="auto"/>
    </w:pPr>
    <w:rPr>
      <w:rFonts w:eastAsiaTheme="minorEastAsia"/>
      <w:lang w:eastAsia="ru-RU"/>
    </w:rPr>
  </w:style>
  <w:style w:type="paragraph" w:styleId="a8">
    <w:name w:val="List Paragraph"/>
    <w:basedOn w:val="a"/>
    <w:uiPriority w:val="34"/>
    <w:qFormat/>
    <w:rsid w:val="00AF3F93"/>
    <w:pPr>
      <w:spacing w:after="200" w:line="276" w:lineRule="auto"/>
      <w:ind w:left="720"/>
      <w:contextualSpacing/>
    </w:pPr>
    <w:rPr>
      <w:rFonts w:ascii="Calibri" w:eastAsia="Calibri" w:hAnsi="Calibri" w:cs="Times New Roman"/>
      <w:sz w:val="22"/>
      <w:szCs w:val="22"/>
      <w:lang w:eastAsia="en-US"/>
    </w:rPr>
  </w:style>
  <w:style w:type="paragraph" w:customStyle="1" w:styleId="11">
    <w:name w:val="Стиль1"/>
    <w:basedOn w:val="a"/>
    <w:qFormat/>
    <w:rsid w:val="00AF3F93"/>
    <w:pPr>
      <w:tabs>
        <w:tab w:val="num" w:pos="720"/>
      </w:tabs>
      <w:autoSpaceDE w:val="0"/>
      <w:autoSpaceDN w:val="0"/>
      <w:adjustRightInd w:val="0"/>
      <w:spacing w:before="120"/>
      <w:ind w:left="-207" w:firstLine="567"/>
      <w:jc w:val="both"/>
      <w:outlineLvl w:val="5"/>
    </w:pPr>
    <w:rPr>
      <w:rFonts w:eastAsia="Times New Roman" w:cs="Times New Roman"/>
    </w:rPr>
  </w:style>
  <w:style w:type="paragraph" w:styleId="a9">
    <w:name w:val="Normal (Web)"/>
    <w:basedOn w:val="a"/>
    <w:uiPriority w:val="99"/>
    <w:semiHidden/>
    <w:unhideWhenUsed/>
    <w:rsid w:val="001A183A"/>
    <w:pPr>
      <w:spacing w:before="100" w:beforeAutospacing="1" w:after="100" w:afterAutospacing="1"/>
    </w:pPr>
    <w:rPr>
      <w:rFonts w:eastAsia="Times New Roman" w:cs="Times New Roman"/>
    </w:rPr>
  </w:style>
  <w:style w:type="character" w:styleId="aa">
    <w:name w:val="Hyperlink"/>
    <w:basedOn w:val="a1"/>
    <w:uiPriority w:val="99"/>
    <w:semiHidden/>
    <w:unhideWhenUsed/>
    <w:rsid w:val="001A183A"/>
    <w:rPr>
      <w:color w:val="0000FF"/>
      <w:u w:val="single"/>
    </w:rPr>
  </w:style>
  <w:style w:type="character" w:customStyle="1" w:styleId="apple-converted-space">
    <w:name w:val="apple-converted-space"/>
    <w:basedOn w:val="a1"/>
    <w:rsid w:val="001A183A"/>
  </w:style>
  <w:style w:type="character" w:styleId="ab">
    <w:name w:val="Strong"/>
    <w:basedOn w:val="a1"/>
    <w:uiPriority w:val="22"/>
    <w:qFormat/>
    <w:rsid w:val="001A183A"/>
    <w:rPr>
      <w:b/>
      <w:bCs/>
    </w:rPr>
  </w:style>
</w:styles>
</file>

<file path=word/webSettings.xml><?xml version="1.0" encoding="utf-8"?>
<w:webSettings xmlns:r="http://schemas.openxmlformats.org/officeDocument/2006/relationships" xmlns:w="http://schemas.openxmlformats.org/wordprocessingml/2006/main">
  <w:divs>
    <w:div w:id="1625504427">
      <w:bodyDiv w:val="1"/>
      <w:marLeft w:val="0"/>
      <w:marRight w:val="0"/>
      <w:marTop w:val="0"/>
      <w:marBottom w:val="0"/>
      <w:divBdr>
        <w:top w:val="none" w:sz="0" w:space="0" w:color="auto"/>
        <w:left w:val="none" w:sz="0" w:space="0" w:color="auto"/>
        <w:bottom w:val="none" w:sz="0" w:space="0" w:color="auto"/>
        <w:right w:val="none" w:sz="0" w:space="0" w:color="auto"/>
      </w:divBdr>
      <w:divsChild>
        <w:div w:id="2070833991">
          <w:marLeft w:val="0"/>
          <w:marRight w:val="0"/>
          <w:marTop w:val="0"/>
          <w:marBottom w:val="360"/>
          <w:divBdr>
            <w:top w:val="single" w:sz="8" w:space="0" w:color="CCCCCC"/>
            <w:left w:val="single" w:sz="8" w:space="0" w:color="CCCCCC"/>
            <w:bottom w:val="single" w:sz="8" w:space="0" w:color="CCCCCC"/>
            <w:right w:val="single" w:sz="8" w:space="0" w:color="CCCCCC"/>
          </w:divBdr>
          <w:divsChild>
            <w:div w:id="1944990812">
              <w:marLeft w:val="0"/>
              <w:marRight w:val="0"/>
              <w:marTop w:val="0"/>
              <w:marBottom w:val="0"/>
              <w:divBdr>
                <w:top w:val="none" w:sz="0" w:space="0" w:color="auto"/>
                <w:left w:val="none" w:sz="0" w:space="0" w:color="auto"/>
                <w:bottom w:val="none" w:sz="0" w:space="0" w:color="auto"/>
                <w:right w:val="none" w:sz="0" w:space="0" w:color="auto"/>
              </w:divBdr>
            </w:div>
            <w:div w:id="22218519">
              <w:marLeft w:val="0"/>
              <w:marRight w:val="0"/>
              <w:marTop w:val="0"/>
              <w:marBottom w:val="0"/>
              <w:divBdr>
                <w:top w:val="none" w:sz="0" w:space="0" w:color="auto"/>
                <w:left w:val="none" w:sz="0" w:space="0" w:color="auto"/>
                <w:bottom w:val="none" w:sz="0" w:space="0" w:color="auto"/>
                <w:right w:val="none" w:sz="0" w:space="0" w:color="auto"/>
              </w:divBdr>
            </w:div>
          </w:divsChild>
        </w:div>
        <w:div w:id="847795813">
          <w:blockQuote w:val="1"/>
          <w:marLeft w:val="0"/>
          <w:marRight w:val="0"/>
          <w:marTop w:val="0"/>
          <w:marBottom w:val="332"/>
          <w:divBdr>
            <w:top w:val="none" w:sz="0" w:space="0" w:color="auto"/>
            <w:left w:val="none" w:sz="0" w:space="0" w:color="auto"/>
            <w:bottom w:val="none" w:sz="0" w:space="0" w:color="auto"/>
            <w:right w:val="none" w:sz="0" w:space="0" w:color="auto"/>
          </w:divBdr>
        </w:div>
        <w:div w:id="618217910">
          <w:marLeft w:val="0"/>
          <w:marRight w:val="0"/>
          <w:marTop w:val="0"/>
          <w:marBottom w:val="360"/>
          <w:divBdr>
            <w:top w:val="single" w:sz="8" w:space="0" w:color="CCCCCC"/>
            <w:left w:val="single" w:sz="8" w:space="0" w:color="CCCCCC"/>
            <w:bottom w:val="single" w:sz="8" w:space="0" w:color="CCCCCC"/>
            <w:right w:val="single" w:sz="8" w:space="0" w:color="CCCCCC"/>
          </w:divBdr>
          <w:divsChild>
            <w:div w:id="1969968182">
              <w:marLeft w:val="0"/>
              <w:marRight w:val="0"/>
              <w:marTop w:val="0"/>
              <w:marBottom w:val="0"/>
              <w:divBdr>
                <w:top w:val="none" w:sz="0" w:space="0" w:color="auto"/>
                <w:left w:val="none" w:sz="0" w:space="0" w:color="auto"/>
                <w:bottom w:val="none" w:sz="0" w:space="0" w:color="auto"/>
                <w:right w:val="none" w:sz="0" w:space="0" w:color="auto"/>
              </w:divBdr>
            </w:div>
            <w:div w:id="172308158">
              <w:marLeft w:val="0"/>
              <w:marRight w:val="0"/>
              <w:marTop w:val="0"/>
              <w:marBottom w:val="0"/>
              <w:divBdr>
                <w:top w:val="none" w:sz="0" w:space="0" w:color="auto"/>
                <w:left w:val="none" w:sz="0" w:space="0" w:color="auto"/>
                <w:bottom w:val="none" w:sz="0" w:space="0" w:color="auto"/>
                <w:right w:val="none" w:sz="0" w:space="0" w:color="auto"/>
              </w:divBdr>
            </w:div>
          </w:divsChild>
        </w:div>
        <w:div w:id="394814001">
          <w:marLeft w:val="0"/>
          <w:marRight w:val="0"/>
          <w:marTop w:val="0"/>
          <w:marBottom w:val="360"/>
          <w:divBdr>
            <w:top w:val="single" w:sz="8" w:space="0" w:color="CCCCCC"/>
            <w:left w:val="single" w:sz="8" w:space="0" w:color="CCCCCC"/>
            <w:bottom w:val="single" w:sz="8" w:space="0" w:color="CCCCCC"/>
            <w:right w:val="single" w:sz="8" w:space="0" w:color="CCCCCC"/>
          </w:divBdr>
          <w:divsChild>
            <w:div w:id="428737027">
              <w:marLeft w:val="0"/>
              <w:marRight w:val="0"/>
              <w:marTop w:val="0"/>
              <w:marBottom w:val="0"/>
              <w:divBdr>
                <w:top w:val="none" w:sz="0" w:space="0" w:color="auto"/>
                <w:left w:val="none" w:sz="0" w:space="0" w:color="auto"/>
                <w:bottom w:val="none" w:sz="0" w:space="0" w:color="auto"/>
                <w:right w:val="none" w:sz="0" w:space="0" w:color="auto"/>
              </w:divBdr>
            </w:div>
            <w:div w:id="486098389">
              <w:marLeft w:val="0"/>
              <w:marRight w:val="0"/>
              <w:marTop w:val="0"/>
              <w:marBottom w:val="0"/>
              <w:divBdr>
                <w:top w:val="none" w:sz="0" w:space="0" w:color="auto"/>
                <w:left w:val="none" w:sz="0" w:space="0" w:color="auto"/>
                <w:bottom w:val="none" w:sz="0" w:space="0" w:color="auto"/>
                <w:right w:val="none" w:sz="0" w:space="0" w:color="auto"/>
              </w:divBdr>
            </w:div>
          </w:divsChild>
        </w:div>
        <w:div w:id="829641413">
          <w:marLeft w:val="0"/>
          <w:marRight w:val="0"/>
          <w:marTop w:val="0"/>
          <w:marBottom w:val="360"/>
          <w:divBdr>
            <w:top w:val="single" w:sz="8" w:space="0" w:color="CCCCCC"/>
            <w:left w:val="single" w:sz="8" w:space="0" w:color="CCCCCC"/>
            <w:bottom w:val="single" w:sz="8" w:space="0" w:color="CCCCCC"/>
            <w:right w:val="single" w:sz="8" w:space="0" w:color="CCCCCC"/>
          </w:divBdr>
          <w:divsChild>
            <w:div w:id="298651173">
              <w:marLeft w:val="0"/>
              <w:marRight w:val="0"/>
              <w:marTop w:val="0"/>
              <w:marBottom w:val="0"/>
              <w:divBdr>
                <w:top w:val="none" w:sz="0" w:space="0" w:color="auto"/>
                <w:left w:val="none" w:sz="0" w:space="0" w:color="auto"/>
                <w:bottom w:val="none" w:sz="0" w:space="0" w:color="auto"/>
                <w:right w:val="none" w:sz="0" w:space="0" w:color="auto"/>
              </w:divBdr>
            </w:div>
            <w:div w:id="87905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nline-buhuchet.ru/nalogovyj-vychet-pri-ispolzovanii-subsidi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25437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1348</Words>
  <Characters>7689</Characters>
  <Application>Microsoft Office Word</Application>
  <DocSecurity>0</DocSecurity>
  <Lines>64</Lines>
  <Paragraphs>18</Paragraphs>
  <ScaleCrop>false</ScaleCrop>
  <Company>DreamLair</Company>
  <LinksUpToDate>false</LinksUpToDate>
  <CharactersWithSpaces>9019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2</cp:revision>
  <dcterms:created xsi:type="dcterms:W3CDTF">2020-07-08T11:06:00Z</dcterms:created>
  <dcterms:modified xsi:type="dcterms:W3CDTF">2020-07-08T11:08:00Z</dcterms:modified>
</cp:coreProperties>
</file>